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33DA724A" w14:textId="77777777" w:rsidR="00BA669C" w:rsidRDefault="00A82AED" w:rsidP="00EA30ED">
            <w:pPr>
              <w:spacing w:before="80"/>
              <w:jc w:val="both"/>
              <w:rPr>
                <w:b/>
                <w:bCs/>
              </w:rPr>
            </w:pPr>
            <w:r w:rsidRPr="00A82AED">
              <w:rPr>
                <w:b/>
                <w:bCs/>
              </w:rPr>
              <w:t> _</w:t>
            </w:r>
            <w:r w:rsidR="00BA669C">
              <w:rPr>
                <w:b/>
                <w:bCs/>
              </w:rPr>
              <w:t>______________________________________________________________________</w:t>
            </w:r>
            <w:r w:rsidR="00BA669C">
              <w:rPr>
                <w:b/>
                <w:bCs/>
              </w:rPr>
              <w:softHyphen/>
            </w:r>
            <w:r w:rsidR="00BA669C">
              <w:rPr>
                <w:b/>
                <w:bCs/>
              </w:rPr>
              <w:softHyphen/>
            </w:r>
            <w:r w:rsidR="00BA669C">
              <w:rPr>
                <w:b/>
                <w:bCs/>
              </w:rPr>
              <w:softHyphen/>
            </w:r>
            <w:r w:rsidR="00BA669C">
              <w:rPr>
                <w:b/>
                <w:bCs/>
              </w:rPr>
              <w:softHyphen/>
            </w:r>
            <w:r w:rsidR="00BA669C">
              <w:rPr>
                <w:b/>
                <w:bCs/>
              </w:rPr>
              <w:softHyphen/>
            </w:r>
          </w:p>
          <w:p w14:paraId="59021FDE" w14:textId="55803E14" w:rsidR="00630540" w:rsidRPr="00A82AED" w:rsidRDefault="00630540" w:rsidP="00EA30ED">
            <w:pPr>
              <w:spacing w:before="80"/>
              <w:jc w:val="both"/>
            </w:pPr>
            <w:r>
              <w:rPr>
                <w:b/>
                <w:bCs/>
              </w:rPr>
              <w:t>CIG ______________________________________________________________________</w:t>
            </w:r>
            <w:r w:rsidR="00E43179">
              <w:rPr>
                <w:b/>
                <w:bCs/>
              </w:rPr>
              <w:softHyphen/>
            </w:r>
            <w:r w:rsidR="00E43179">
              <w:rPr>
                <w:b/>
                <w:bCs/>
              </w:rPr>
              <w:softHyphen/>
            </w:r>
            <w:r w:rsidR="00E43179">
              <w:rPr>
                <w:b/>
                <w:bCs/>
              </w:rPr>
              <w:softHyphen/>
            </w:r>
            <w:r w:rsidR="00E43179">
              <w:rPr>
                <w:b/>
                <w:bCs/>
              </w:rPr>
              <w:softHyphen/>
            </w:r>
            <w:r w:rsidR="00E43179">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w:t>
      </w:r>
      <w:r w:rsidRPr="00A82AED">
        <w:rPr>
          <w:lang w:val="it-IT"/>
        </w:rPr>
        <w:lastRenderedPageBreak/>
        <w:t>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w:t>
      </w:r>
      <w:r w:rsidRPr="00A82AED">
        <w:rPr>
          <w:lang w:val="it-IT"/>
        </w:rPr>
        <w:lastRenderedPageBreak/>
        <w:t>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A669C"/>
    <w:rsid w:val="00BF105A"/>
    <w:rsid w:val="00C33705"/>
    <w:rsid w:val="00C70F5B"/>
    <w:rsid w:val="00DA26F2"/>
    <w:rsid w:val="00DC0E14"/>
    <w:rsid w:val="00DE56AD"/>
    <w:rsid w:val="00E43179"/>
    <w:rsid w:val="00EA30ED"/>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1703</Words>
  <Characters>9713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Cabases Giulia</cp:lastModifiedBy>
  <cp:revision>171</cp:revision>
  <cp:lastPrinted>2024-03-01T11:57:00Z</cp:lastPrinted>
  <dcterms:created xsi:type="dcterms:W3CDTF">2024-03-01T12:00:00Z</dcterms:created>
  <dcterms:modified xsi:type="dcterms:W3CDTF">2025-01-28T14:47:00Z</dcterms:modified>
</cp:coreProperties>
</file>