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tbl>
            <w:tblPr>
              <w:tblW w:w="12029" w:type="dxa"/>
              <w:tblLayout w:type="fixed"/>
              <w:tblCellMar>
                <w:left w:w="70" w:type="dxa"/>
                <w:right w:w="70" w:type="dxa"/>
              </w:tblCellMar>
              <w:tblLook w:val="0000" w:firstRow="0" w:lastRow="0" w:firstColumn="0" w:lastColumn="0" w:noHBand="0" w:noVBand="0"/>
            </w:tblPr>
            <w:tblGrid>
              <w:gridCol w:w="12029"/>
            </w:tblGrid>
            <w:tr w:rsidR="00F31D58" w14:paraId="65011FC2" w14:textId="77777777" w:rsidTr="00F31D58">
              <w:trPr>
                <w:trHeight w:val="1150"/>
              </w:trPr>
              <w:tc>
                <w:tcPr>
                  <w:tcW w:w="1186" w:type="dxa"/>
                  <w:tcBorders>
                    <w:top w:val="nil"/>
                    <w:left w:val="single" w:sz="6" w:space="0" w:color="000000"/>
                    <w:bottom w:val="nil"/>
                    <w:right w:val="nil"/>
                  </w:tcBorders>
                </w:tcPr>
                <w:p w14:paraId="6D240EB2" w14:textId="77777777" w:rsidR="00784F7B" w:rsidRDefault="00784F7B" w:rsidP="00784F7B">
                  <w:pPr>
                    <w:spacing w:before="120" w:after="120"/>
                    <w:jc w:val="both"/>
                    <w:rPr>
                      <w:rFonts w:ascii="Arial" w:hAnsi="Arial" w:cs="Arial"/>
                      <w:b/>
                    </w:rPr>
                  </w:pPr>
                  <w:r w:rsidRPr="00A766A2">
                    <w:rPr>
                      <w:rFonts w:ascii="Arial" w:hAnsi="Arial" w:cs="Arial"/>
                      <w:b/>
                    </w:rPr>
                    <w:t>FORNITURA</w:t>
                  </w:r>
                  <w:r>
                    <w:rPr>
                      <w:rFonts w:ascii="Arial" w:hAnsi="Arial" w:cs="Arial"/>
                      <w:b/>
                    </w:rPr>
                    <w:t xml:space="preserve"> DI FRIGORIFERI PER LA CONSERVAZIONE DI FARMACI E CAMPIONI BIOLOGICI OCCORRENTE ALL’ASL CN2, PER UN PERIODO DI 12 MESI. AFFIDAMENTO DIRETTO</w:t>
                  </w:r>
                  <w:r w:rsidRPr="00A766A2">
                    <w:rPr>
                      <w:rFonts w:ascii="Arial" w:hAnsi="Arial" w:cs="Arial"/>
                      <w:b/>
                    </w:rPr>
                    <w:t xml:space="preserve"> AI SENSI DEL’ART. 50 </w:t>
                  </w:r>
                  <w:proofErr w:type="gramStart"/>
                  <w:r w:rsidRPr="00A766A2">
                    <w:rPr>
                      <w:rFonts w:ascii="Arial" w:hAnsi="Arial" w:cs="Arial"/>
                      <w:b/>
                    </w:rPr>
                    <w:t>COMMA</w:t>
                  </w:r>
                  <w:proofErr w:type="gramEnd"/>
                  <w:r w:rsidRPr="00A766A2">
                    <w:rPr>
                      <w:rFonts w:ascii="Arial" w:hAnsi="Arial" w:cs="Arial"/>
                      <w:b/>
                    </w:rPr>
                    <w:t xml:space="preserve"> 1 LETTERA b) DEL D.LGS 36/2023 </w:t>
                  </w:r>
                  <w:r w:rsidRPr="00076106">
                    <w:rPr>
                      <w:rFonts w:ascii="Arial" w:hAnsi="Arial" w:cs="Arial"/>
                      <w:b/>
                    </w:rPr>
                    <w:t>E DEL REGOLAMENTO AZIENDALE PER L’ACQUISIZIONE E GESTIONE DI LAVORI SERVIZI E FORNITURE DI IMPORTO INFERIORE ALLE SOGLIE DI RILEVANZA COMUNITARIA</w:t>
                  </w:r>
                  <w:r>
                    <w:rPr>
                      <w:rFonts w:ascii="Arial" w:hAnsi="Arial" w:cs="Arial"/>
                      <w:b/>
                    </w:rPr>
                    <w:t>.</w:t>
                  </w:r>
                </w:p>
                <w:p w14:paraId="2762FCB3" w14:textId="1B54B1B6" w:rsidR="00F31D58" w:rsidRDefault="00784F7B" w:rsidP="00784F7B">
                  <w:pPr>
                    <w:autoSpaceDE w:val="0"/>
                    <w:autoSpaceDN w:val="0"/>
                    <w:adjustRightInd w:val="0"/>
                    <w:spacing w:after="0" w:line="240" w:lineRule="auto"/>
                    <w:rPr>
                      <w:rFonts w:ascii="Times New Roman" w:hAnsi="Times New Roman"/>
                      <w:b/>
                      <w:bCs/>
                      <w:color w:val="000000"/>
                      <w:kern w:val="0"/>
                      <w:lang w:val="it-IT" w:eastAsia="it-IT"/>
                    </w:rPr>
                  </w:pPr>
                  <w:r>
                    <w:rPr>
                      <w:rFonts w:ascii="Arial" w:hAnsi="Arial" w:cs="Arial"/>
                      <w:b/>
                    </w:rPr>
                    <w:t xml:space="preserve">CUP </w:t>
                  </w:r>
                  <w:r w:rsidRPr="005710DE">
                    <w:rPr>
                      <w:rFonts w:ascii="Arial" w:hAnsi="Arial" w:cs="Arial"/>
                      <w:b/>
                    </w:rPr>
                    <w:t xml:space="preserve">G99I23001040002 </w:t>
                  </w:r>
                  <w:r w:rsidRPr="009A02D2">
                    <w:rPr>
                      <w:rFonts w:ascii="Arial" w:hAnsi="Arial" w:cs="Arial"/>
                      <w:b/>
                    </w:rPr>
                    <w:t>TRATTATIVA DIRETTA N</w:t>
                  </w:r>
                  <w:r w:rsidRPr="00333620">
                    <w:rPr>
                      <w:rFonts w:ascii="Arial" w:hAnsi="Arial" w:cs="Arial"/>
                      <w:b/>
                    </w:rPr>
                    <w:t>. 5832685</w:t>
                  </w:r>
                </w:p>
              </w:tc>
            </w:tr>
          </w:tbl>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84F7B"/>
    <w:rsid w:val="00792AF4"/>
    <w:rsid w:val="007B643F"/>
    <w:rsid w:val="007C7A1B"/>
    <w:rsid w:val="007D2DC6"/>
    <w:rsid w:val="00811CE0"/>
    <w:rsid w:val="0087793D"/>
    <w:rsid w:val="0088013B"/>
    <w:rsid w:val="00896BEB"/>
    <w:rsid w:val="008A093C"/>
    <w:rsid w:val="008B4458"/>
    <w:rsid w:val="008B6BAD"/>
    <w:rsid w:val="008F136B"/>
    <w:rsid w:val="00906E34"/>
    <w:rsid w:val="00920547"/>
    <w:rsid w:val="00940234"/>
    <w:rsid w:val="0096124B"/>
    <w:rsid w:val="00980DBF"/>
    <w:rsid w:val="009A755C"/>
    <w:rsid w:val="009B7A1A"/>
    <w:rsid w:val="009E043E"/>
    <w:rsid w:val="009E68E3"/>
    <w:rsid w:val="009F3B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B363F"/>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31D58"/>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195</cp:revision>
  <cp:lastPrinted>2024-11-08T16:09:00Z</cp:lastPrinted>
  <dcterms:created xsi:type="dcterms:W3CDTF">2024-03-01T12:00:00Z</dcterms:created>
  <dcterms:modified xsi:type="dcterms:W3CDTF">2025-11-20T10:02:00Z</dcterms:modified>
</cp:coreProperties>
</file>